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ACAA4CE" w:rsidR="00611C6A" w:rsidRPr="0012306F" w:rsidRDefault="005909E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Roger Sales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8522A26" w:rsidR="00A932ED" w:rsidRDefault="00C011D9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327AC13" w14:textId="54013E8D" w:rsidR="005909E8" w:rsidRDefault="005909E8" w:rsidP="002275B4">
      <w:pPr>
        <w:rPr>
          <w:b/>
          <w:bCs/>
          <w:lang w:val="en-US"/>
        </w:rPr>
      </w:pPr>
    </w:p>
    <w:p w14:paraId="24158CBA" w14:textId="77777777" w:rsidR="005909E8" w:rsidRPr="001E4FA8" w:rsidRDefault="005909E8" w:rsidP="005909E8">
      <w:pPr>
        <w:rPr>
          <w:lang w:val="en-US"/>
        </w:rPr>
      </w:pPr>
      <w:r w:rsidRPr="001E4FA8">
        <w:rPr>
          <w:lang w:val="en-US"/>
        </w:rPr>
        <w:t xml:space="preserve">Sales, Roger. </w:t>
      </w:r>
      <w:r w:rsidRPr="001E4FA8">
        <w:rPr>
          <w:i/>
          <w:lang w:val="en-US"/>
        </w:rPr>
        <w:t xml:space="preserve">Christopher Marlowe. </w:t>
      </w:r>
      <w:r w:rsidRPr="001E4FA8">
        <w:rPr>
          <w:lang w:val="en-US"/>
        </w:rPr>
        <w:t xml:space="preserve">(English Dramatists). Houndmills: Macmillan. </w:t>
      </w:r>
    </w:p>
    <w:p w14:paraId="69C483E0" w14:textId="77777777" w:rsidR="005909E8" w:rsidRPr="001E4FA8" w:rsidRDefault="005909E8" w:rsidP="005909E8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Jane Austen and the Representations of Regency England. </w:t>
      </w:r>
      <w:r w:rsidRPr="001E4FA8">
        <w:rPr>
          <w:lang w:val="en-US"/>
        </w:rPr>
        <w:t>London: Routledge, 1994.</w:t>
      </w:r>
    </w:p>
    <w:p w14:paraId="33040D14" w14:textId="77777777" w:rsidR="005909E8" w:rsidRPr="001E4FA8" w:rsidRDefault="005909E8" w:rsidP="005909E8">
      <w:pPr>
        <w:ind w:right="10"/>
        <w:rPr>
          <w:lang w:val="en-US"/>
        </w:rPr>
      </w:pPr>
      <w:r w:rsidRPr="001E4FA8">
        <w:rPr>
          <w:lang w:val="en-US"/>
        </w:rPr>
        <w:t xml:space="preserve">_____. "Poor Relations: Writing in the Working Class 1770-1835." In </w:t>
      </w:r>
      <w:r w:rsidRPr="001E4FA8">
        <w:rPr>
          <w:i/>
          <w:lang w:val="en-US"/>
        </w:rPr>
        <w:t xml:space="preserve">The Romantic Period. </w:t>
      </w:r>
      <w:r w:rsidRPr="001E4FA8">
        <w:rPr>
          <w:lang w:val="en-US"/>
        </w:rPr>
        <w:t xml:space="preserve">Ed. David B. Pirie. Vol. 5 of the </w:t>
      </w:r>
      <w:r w:rsidRPr="001E4FA8">
        <w:rPr>
          <w:i/>
          <w:lang w:val="en-US"/>
        </w:rPr>
        <w:t>Penguin History of Literature.</w:t>
      </w:r>
      <w:r w:rsidRPr="001E4FA8">
        <w:rPr>
          <w:lang w:val="en-US"/>
        </w:rPr>
        <w:t xml:space="preserve"> Harmondsworth: Penguin, 1994. 257-88.*</w:t>
      </w:r>
    </w:p>
    <w:p w14:paraId="3D7696E7" w14:textId="1B212DA8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  <w:r w:rsidRPr="001E4FA8">
        <w:rPr>
          <w:rFonts w:eastAsia="Times"/>
          <w:lang w:val="en-US"/>
        </w:rPr>
        <w:t>_____, ed.  Shakespeare in Perspective. London: BBC/Ariel Books, 1982.</w:t>
      </w:r>
    </w:p>
    <w:p w14:paraId="62E1500F" w14:textId="78C93AF8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5AE82F08" w14:textId="18613853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64BA89A3" w14:textId="633F28F9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0913D4D7" w14:textId="58D903A9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186E5625" w14:textId="5BEB848F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754947D9" w14:textId="1756513C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657738F2" w14:textId="29D08710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3FDA40E9" w14:textId="32F90B27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172DAF36" w14:textId="4EA76E80" w:rsidR="005909E8" w:rsidRDefault="005909E8" w:rsidP="005909E8">
      <w:pPr>
        <w:pStyle w:val="BodyText21"/>
        <w:ind w:left="709" w:hanging="709"/>
        <w:rPr>
          <w:rFonts w:eastAsia="Times"/>
          <w:lang w:val="en-US"/>
        </w:rPr>
      </w:pPr>
    </w:p>
    <w:p w14:paraId="08471412" w14:textId="0BE9542D" w:rsidR="005909E8" w:rsidRDefault="005909E8" w:rsidP="005909E8">
      <w:pPr>
        <w:pStyle w:val="BodyText21"/>
        <w:ind w:left="709" w:hanging="709"/>
        <w:rPr>
          <w:rFonts w:eastAsia="Times"/>
          <w:b/>
          <w:bCs/>
          <w:lang w:val="en-US"/>
        </w:rPr>
      </w:pPr>
      <w:r>
        <w:rPr>
          <w:rFonts w:eastAsia="Times"/>
          <w:b/>
          <w:bCs/>
          <w:lang w:val="en-US"/>
        </w:rPr>
        <w:t>Edited works</w:t>
      </w:r>
    </w:p>
    <w:p w14:paraId="114EFED1" w14:textId="1E9261CF" w:rsidR="005909E8" w:rsidRDefault="005909E8" w:rsidP="005909E8">
      <w:pPr>
        <w:pStyle w:val="BodyText21"/>
        <w:ind w:left="709" w:hanging="709"/>
        <w:rPr>
          <w:rFonts w:eastAsia="Times"/>
          <w:b/>
          <w:bCs/>
          <w:lang w:val="en-US"/>
        </w:rPr>
      </w:pPr>
    </w:p>
    <w:p w14:paraId="70BEF96B" w14:textId="081DA6A6" w:rsidR="005909E8" w:rsidRDefault="005909E8" w:rsidP="005909E8">
      <w:pPr>
        <w:pStyle w:val="BodyText21"/>
        <w:ind w:left="709" w:hanging="709"/>
        <w:rPr>
          <w:rFonts w:eastAsia="Times"/>
          <w:i/>
          <w:iCs/>
          <w:lang w:val="en-US"/>
        </w:rPr>
      </w:pPr>
      <w:r>
        <w:rPr>
          <w:rFonts w:eastAsia="Times"/>
          <w:i/>
          <w:iCs/>
          <w:lang w:val="en-US"/>
        </w:rPr>
        <w:t>Shakespeare in Perspective:</w:t>
      </w:r>
    </w:p>
    <w:p w14:paraId="748EF569" w14:textId="77777777" w:rsidR="005909E8" w:rsidRPr="005909E8" w:rsidRDefault="005909E8" w:rsidP="005909E8">
      <w:pPr>
        <w:pStyle w:val="BodyText21"/>
        <w:ind w:left="709" w:hanging="709"/>
        <w:rPr>
          <w:rFonts w:eastAsia="Times"/>
          <w:i/>
          <w:iCs/>
          <w:lang w:val="en-US"/>
        </w:rPr>
      </w:pPr>
    </w:p>
    <w:p w14:paraId="0987DF35" w14:textId="77777777" w:rsidR="005909E8" w:rsidRPr="00A87B00" w:rsidRDefault="005909E8" w:rsidP="005909E8">
      <w:pPr>
        <w:pStyle w:val="BodyText21"/>
        <w:ind w:left="709" w:hanging="709"/>
        <w:rPr>
          <w:rFonts w:eastAsia="Times"/>
          <w:i/>
          <w:lang w:val="en-US"/>
        </w:rPr>
      </w:pPr>
      <w:r w:rsidRPr="00A87B00">
        <w:rPr>
          <w:rFonts w:eastAsia="Times"/>
          <w:lang w:val="en-US"/>
        </w:rPr>
        <w:t>Johnson, Paul. "Richard II." In Shakespeare in Perspective. Ed. Roger Sales. London: BBC/Ariel Books, 1982.</w:t>
      </w:r>
    </w:p>
    <w:p w14:paraId="4EC9858F" w14:textId="77777777" w:rsidR="005909E8" w:rsidRPr="00C011D9" w:rsidRDefault="005909E8" w:rsidP="002275B4">
      <w:pPr>
        <w:rPr>
          <w:b/>
          <w:bCs/>
          <w:szCs w:val="28"/>
          <w:lang w:val="en-US"/>
        </w:rPr>
      </w:pPr>
    </w:p>
    <w:sectPr w:rsidR="005909E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9E8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2023-01-13T16:47:00Z</dcterms:created>
  <dcterms:modified xsi:type="dcterms:W3CDTF">2023-01-13T16:47:00Z</dcterms:modified>
</cp:coreProperties>
</file>