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E77" w:rsidRDefault="00F75D85">
      <w:pPr>
        <w:jc w:val="center"/>
        <w:rPr>
          <w:sz w:val="24"/>
        </w:rPr>
      </w:pPr>
      <w:bookmarkStart w:id="0" w:name="_GoBack"/>
      <w:bookmarkEnd w:id="0"/>
      <w:r>
        <w:rPr>
          <w:sz w:val="20"/>
        </w:rPr>
        <w:t>from</w:t>
      </w:r>
    </w:p>
    <w:p w:rsidR="00D17E77" w:rsidRDefault="00F75D85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D17E77" w:rsidRDefault="00F75D85">
      <w:pPr>
        <w:ind w:right="-1"/>
        <w:jc w:val="center"/>
        <w:rPr>
          <w:smallCaps/>
          <w:sz w:val="24"/>
        </w:rPr>
      </w:pPr>
      <w:hyperlink r:id="rId4" w:history="1">
        <w:r>
          <w:rPr>
            <w:rStyle w:val="Hipervnculo"/>
            <w:sz w:val="22"/>
          </w:rPr>
          <w:t>http://www.unizar.es/departamentos/filologia_inglesa/garciala/bibliography.html</w:t>
        </w:r>
      </w:hyperlink>
    </w:p>
    <w:p w:rsidR="00D17E77" w:rsidRDefault="00F75D85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</w:t>
      </w:r>
      <w:r>
        <w:rPr>
          <w:smallCaps/>
          <w:sz w:val="24"/>
        </w:rPr>
        <w:t>arcía Landa</w:t>
      </w:r>
    </w:p>
    <w:p w:rsidR="00D17E77" w:rsidRDefault="00F75D85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D17E77" w:rsidRDefault="00F75D85">
      <w:pPr>
        <w:ind w:left="0" w:firstLine="0"/>
        <w:jc w:val="center"/>
        <w:rPr>
          <w:color w:val="000000"/>
        </w:rPr>
      </w:pPr>
    </w:p>
    <w:p w:rsidR="00D17E77" w:rsidRDefault="00F75D85">
      <w:pPr>
        <w:jc w:val="center"/>
      </w:pPr>
    </w:p>
    <w:p w:rsidR="00D17E77" w:rsidRPr="00D17E77" w:rsidRDefault="00F75D85" w:rsidP="00D17E77">
      <w:pPr>
        <w:pStyle w:val="Ttulo1"/>
        <w:rPr>
          <w:rStyle w:val="Ttulobiblio"/>
        </w:rPr>
      </w:pPr>
      <w:r w:rsidRPr="00D17E77">
        <w:rPr>
          <w:rStyle w:val="Ttulobiblio"/>
        </w:rPr>
        <w:t>R. S. White</w:t>
      </w:r>
    </w:p>
    <w:p w:rsidR="00D17E77" w:rsidRDefault="00F75D85">
      <w:pPr>
        <w:rPr>
          <w:b/>
        </w:rPr>
      </w:pPr>
    </w:p>
    <w:p w:rsidR="00D17E77" w:rsidRPr="00D17E77" w:rsidRDefault="00F75D85">
      <w:pPr>
        <w:rPr>
          <w:sz w:val="24"/>
        </w:rPr>
      </w:pPr>
      <w:r w:rsidRPr="00D17E77">
        <w:rPr>
          <w:sz w:val="24"/>
        </w:rPr>
        <w:t>(U of Western Australia)</w:t>
      </w:r>
    </w:p>
    <w:p w:rsidR="00D17E77" w:rsidRDefault="00F75D85"/>
    <w:p w:rsidR="00D17E77" w:rsidRDefault="00F75D85"/>
    <w:p w:rsidR="00D17E77" w:rsidRDefault="00F75D85">
      <w:pPr>
        <w:rPr>
          <w:b/>
        </w:rPr>
      </w:pPr>
      <w:r>
        <w:rPr>
          <w:b/>
        </w:rPr>
        <w:t>Works</w:t>
      </w:r>
    </w:p>
    <w:p w:rsidR="00D17E77" w:rsidRDefault="00F75D85">
      <w:pPr>
        <w:rPr>
          <w:b/>
        </w:rPr>
      </w:pPr>
    </w:p>
    <w:p w:rsidR="00D17E77" w:rsidRDefault="00F75D85">
      <w:r>
        <w:t xml:space="preserve">White, R. S. </w:t>
      </w:r>
      <w:r>
        <w:rPr>
          <w:i/>
        </w:rPr>
        <w:t>"Titus Andronicus</w:t>
      </w:r>
      <w:r>
        <w:t xml:space="preserve"> and </w:t>
      </w:r>
      <w:r>
        <w:rPr>
          <w:i/>
        </w:rPr>
        <w:t xml:space="preserve">Romeo and Juliet." </w:t>
      </w:r>
      <w:r>
        <w:t xml:space="preserve">In </w:t>
      </w:r>
      <w:r>
        <w:rPr>
          <w:i/>
        </w:rPr>
        <w:t>Shakespeare: A Bibliographical Guide.</w:t>
      </w:r>
      <w:r>
        <w:t xml:space="preserve"> Ed. Stanley Wells. Oxford: Clarendon, 1990. 181-200.*</w:t>
      </w:r>
    </w:p>
    <w:p w:rsidR="00D17E77" w:rsidRDefault="00F75D85">
      <w:r>
        <w:t xml:space="preserve">_____. </w:t>
      </w:r>
      <w:r>
        <w:rPr>
          <w:i/>
        </w:rPr>
        <w:t>The Mer</w:t>
      </w:r>
      <w:r>
        <w:rPr>
          <w:i/>
        </w:rPr>
        <w:t xml:space="preserve">ry Wives of Windsor. </w:t>
      </w:r>
      <w:r>
        <w:t>Hemel Hempstead: Harvester Wheatsheaf, 1991.</w:t>
      </w:r>
    </w:p>
    <w:p w:rsidR="00D17E77" w:rsidRDefault="00F75D85">
      <w:r>
        <w:t xml:space="preserve">_____. "Shakespeare Criticism in the Twentieth Century." In </w:t>
      </w:r>
      <w:r>
        <w:rPr>
          <w:i/>
        </w:rPr>
        <w:t>The Cambridge Companion to Shakespeare.</w:t>
      </w:r>
      <w:r>
        <w:t xml:space="preserve"> Ed. Margreta De Grazia and Stanley Wells. Cambridge: Cambridge UP, 2001. 279-96.*</w:t>
      </w:r>
    </w:p>
    <w:p w:rsidR="00D17E77" w:rsidRDefault="00F75D85">
      <w:r>
        <w:t>_____, e</w:t>
      </w:r>
      <w:r>
        <w:t xml:space="preserve">d. </w:t>
      </w:r>
      <w:r>
        <w:rPr>
          <w:i/>
        </w:rPr>
        <w:t>Twelfth Night.</w:t>
      </w:r>
      <w:r>
        <w:t xml:space="preserve"> (New Casebooks). Houndmills: Macmillan, 1996.*</w:t>
      </w:r>
    </w:p>
    <w:p w:rsidR="00D17E77" w:rsidRDefault="00F75D85">
      <w:r>
        <w:t xml:space="preserve">_____, ed. </w:t>
      </w:r>
      <w:r>
        <w:rPr>
          <w:i/>
        </w:rPr>
        <w:t>The Tempest.</w:t>
      </w:r>
      <w:r>
        <w:t xml:space="preserve"> (New Casebooks). Houndmills: Macmillan, 1999.</w:t>
      </w:r>
    </w:p>
    <w:p w:rsidR="00D17E77" w:rsidRDefault="00F75D85"/>
    <w:p w:rsidR="00D17E77" w:rsidRDefault="00F75D85"/>
    <w:p w:rsidR="00D17E77" w:rsidRDefault="00F75D85"/>
    <w:p w:rsidR="00D17E77" w:rsidRDefault="00F75D85">
      <w:pPr>
        <w:rPr>
          <w:b/>
        </w:rPr>
      </w:pPr>
      <w:r>
        <w:rPr>
          <w:b/>
        </w:rPr>
        <w:t>Edited works</w:t>
      </w:r>
    </w:p>
    <w:p w:rsidR="00D17E77" w:rsidRDefault="00F75D85">
      <w:pPr>
        <w:rPr>
          <w:b/>
        </w:rPr>
      </w:pPr>
    </w:p>
    <w:p w:rsidR="00D17E77" w:rsidRPr="00D17E77" w:rsidRDefault="00F75D85">
      <w:pPr>
        <w:rPr>
          <w:b/>
        </w:rPr>
      </w:pPr>
    </w:p>
    <w:p w:rsidR="00D17E77" w:rsidRDefault="00F75D85" w:rsidP="00D17E77">
      <w:pPr>
        <w:ind w:right="10"/>
      </w:pPr>
      <w:r>
        <w:rPr>
          <w:i/>
          <w:smallCaps/>
        </w:rPr>
        <w:t>Twelfth Night.</w:t>
      </w:r>
      <w:r>
        <w:t xml:space="preserve"> (New Casebooks):</w:t>
      </w:r>
    </w:p>
    <w:p w:rsidR="00D17E77" w:rsidRDefault="00F75D85" w:rsidP="00D17E77">
      <w:pPr>
        <w:ind w:right="10"/>
      </w:pPr>
    </w:p>
    <w:p w:rsidR="00D17E77" w:rsidRDefault="00F75D85">
      <w:pPr>
        <w:ind w:right="10"/>
      </w:pPr>
      <w:r>
        <w:t xml:space="preserve">Bristol, Michael D. "The Festive Agon: The Politics of Carnival." In </w:t>
      </w:r>
      <w:r>
        <w:rPr>
          <w:i/>
          <w:smallCaps/>
        </w:rPr>
        <w:t>T</w:t>
      </w:r>
      <w:r>
        <w:rPr>
          <w:i/>
          <w:smallCaps/>
        </w:rPr>
        <w:t>welfth Night.</w:t>
      </w:r>
      <w:r>
        <w:t xml:space="preserve"> (New Casebooks). Ed. R. S. White. Houndmills: Macmillan, 1996. 72-81.*</w:t>
      </w:r>
    </w:p>
    <w:p w:rsidR="00D17E77" w:rsidRDefault="00F75D85"/>
    <w:sectPr w:rsidR="00D17E77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7E77"/>
    <w:rsid w:val="00F7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296AB2B-A8ED-6348-B306-25CFDD67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D17E7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D17E77"/>
    <w:rPr>
      <w:color w:val="0000FF"/>
      <w:u w:val="single"/>
    </w:rPr>
  </w:style>
  <w:style w:type="character" w:customStyle="1" w:styleId="Ttulobiblio">
    <w:name w:val="Título biblio"/>
    <w:rsid w:val="00D17E77"/>
    <w:rPr>
      <w:rFonts w:ascii="Times" w:hAnsi="Times"/>
      <w:small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1108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</cp:revision>
  <dcterms:created xsi:type="dcterms:W3CDTF">2020-03-05T10:20:00Z</dcterms:created>
  <dcterms:modified xsi:type="dcterms:W3CDTF">2020-03-05T10:20:00Z</dcterms:modified>
</cp:coreProperties>
</file>