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71DB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71DB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Carmen Acuña Partal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>
      <w:bookmarkStart w:id="2" w:name="_GoBack"/>
      <w:bookmarkEnd w:id="2"/>
    </w:p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Acuña Partal, Carmen, and Marcos Rodríguez Espinosa, eds.</w:t>
      </w:r>
      <w:r w:rsidRPr="005A12C6">
        <w:rPr>
          <w:rFonts w:eastAsia="Times New Roman"/>
          <w:sz w:val="28"/>
          <w:szCs w:val="28"/>
        </w:rPr>
        <w:t xml:space="preserve"> </w:t>
      </w:r>
      <w:r w:rsidRPr="005A12C6">
        <w:rPr>
          <w:rStyle w:val="Emphasis"/>
          <w:sz w:val="28"/>
          <w:szCs w:val="28"/>
        </w:rPr>
        <w:t>Archivo y edición digital de textos literarios y ensayísticos traducidos al español y tratados sobre traducción del siglo XIX</w:t>
      </w:r>
      <w:r w:rsidRPr="005A12C6">
        <w:rPr>
          <w:rFonts w:eastAsia="Times New Roman"/>
          <w:sz w:val="28"/>
          <w:szCs w:val="28"/>
        </w:rPr>
        <w:t xml:space="preserve">. Granada: Atrio, 2009. </w:t>
      </w:r>
    </w:p>
    <w:p w:rsidR="00C454AC" w:rsidRDefault="00C454AC" w:rsidP="00C454AC"/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</w:p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</w:p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</w:p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b/>
          <w:sz w:val="28"/>
          <w:szCs w:val="28"/>
        </w:rPr>
      </w:pPr>
    </w:p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5A12C6">
        <w:rPr>
          <w:rStyle w:val="Emphasis"/>
          <w:sz w:val="28"/>
          <w:szCs w:val="28"/>
        </w:rPr>
        <w:t>Archivo y edición digital de textos literarios y ensayísticos traducidos al español y tratados sobre traducción del siglo XIX</w:t>
      </w:r>
      <w:r>
        <w:rPr>
          <w:rFonts w:eastAsia="Times New Roman"/>
          <w:sz w:val="28"/>
          <w:szCs w:val="28"/>
        </w:rPr>
        <w:t>:</w:t>
      </w:r>
    </w:p>
    <w:p w:rsidR="00E71DBB" w:rsidRDefault="00E71DBB" w:rsidP="00C454AC"/>
    <w:p w:rsidR="00E71DBB" w:rsidRDefault="00E71DBB" w:rsidP="00E71DB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CE7B6F">
        <w:rPr>
          <w:sz w:val="28"/>
          <w:szCs w:val="28"/>
        </w:rPr>
        <w:t>García González</w:t>
      </w:r>
      <w:r>
        <w:rPr>
          <w:sz w:val="28"/>
          <w:szCs w:val="28"/>
        </w:rPr>
        <w:t>, José Enrique.</w:t>
      </w:r>
      <w:r>
        <w:rPr>
          <w:rFonts w:eastAsia="Times New Roman"/>
          <w:sz w:val="28"/>
          <w:szCs w:val="28"/>
        </w:rPr>
        <w:t xml:space="preserve"> </w:t>
      </w:r>
      <w:r w:rsidRPr="005A12C6">
        <w:rPr>
          <w:rFonts w:eastAsia="Times New Roman"/>
          <w:sz w:val="28"/>
          <w:szCs w:val="28"/>
        </w:rPr>
        <w:t xml:space="preserve">"Estudio y edición traductológica digital de </w:t>
      </w:r>
      <w:r w:rsidRPr="005A12C6">
        <w:rPr>
          <w:rStyle w:val="Emphasis"/>
          <w:sz w:val="28"/>
          <w:szCs w:val="28"/>
        </w:rPr>
        <w:t>Waverley</w:t>
      </w:r>
      <w:r w:rsidRPr="005A12C6">
        <w:rPr>
          <w:rFonts w:eastAsia="Times New Roman"/>
          <w:sz w:val="28"/>
          <w:szCs w:val="28"/>
        </w:rPr>
        <w:t xml:space="preserve">, de Walter Scott, en traducción anónima. Barcelona, Librería-Imprenta de Oliva, 1836." In </w:t>
      </w:r>
      <w:r w:rsidRPr="005A12C6">
        <w:rPr>
          <w:rStyle w:val="Emphasis"/>
          <w:sz w:val="28"/>
          <w:szCs w:val="28"/>
        </w:rPr>
        <w:t>Archivo y edición digital de textos literarios y ensayísticos traducidos al español y tratados sobre traducción del siglo XIX</w:t>
      </w:r>
      <w:r w:rsidRPr="005A12C6">
        <w:rPr>
          <w:rFonts w:eastAsia="Times New Roman"/>
          <w:sz w:val="28"/>
          <w:szCs w:val="28"/>
        </w:rPr>
        <w:t>. Ed. Carmen Acuña Partal and Marcos Rodríguez Espinosa. Granada: Atrio, 2009. 1-25.</w:t>
      </w:r>
    </w:p>
    <w:p w:rsidR="00E71DBB" w:rsidRDefault="00E71DBB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71DB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71DBB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E71DBB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71DBB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E71DB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2017-03-11T20:24:00Z</dcterms:created>
  <dcterms:modified xsi:type="dcterms:W3CDTF">2017-03-11T20:24:00Z</dcterms:modified>
</cp:coreProperties>
</file>