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2603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Actas AIH</w:t>
      </w:r>
    </w:p>
    <w:p w:rsidR="00C454AC" w:rsidRDefault="00C454AC"/>
    <w:p w:rsidR="00C454AC" w:rsidRDefault="00C454AC"/>
    <w:p w:rsidR="00C454AC" w:rsidRPr="00FE62FF" w:rsidRDefault="00E2603A">
      <w:pPr>
        <w:rPr>
          <w:b/>
        </w:rPr>
      </w:pPr>
      <w:r>
        <w:rPr>
          <w:b/>
        </w:rPr>
        <w:t>VI (1980)</w:t>
      </w:r>
    </w:p>
    <w:p w:rsidR="00C454AC" w:rsidRDefault="00C454AC"/>
    <w:p w:rsidR="00E2603A" w:rsidRDefault="00E2603A" w:rsidP="00E2603A">
      <w:pPr>
        <w:tabs>
          <w:tab w:val="left" w:pos="6307"/>
        </w:tabs>
      </w:pPr>
      <w:r>
        <w:t>Frenk, Margit. "La configuración del villancico." From Frenk, "Configuración del villancico pop</w:t>
      </w:r>
      <w:bookmarkStart w:id="2" w:name="_GoBack"/>
      <w:bookmarkEnd w:id="2"/>
      <w:r>
        <w:t xml:space="preserve">ular renacentista." </w:t>
      </w:r>
      <w:r>
        <w:rPr>
          <w:i/>
        </w:rPr>
        <w:t>Actas VI AIH</w:t>
      </w:r>
      <w:r>
        <w:t xml:space="preserve"> (1980) 1.281-84.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47-51.*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2016-04-04T15:01:00Z</dcterms:created>
  <dcterms:modified xsi:type="dcterms:W3CDTF">2016-04-04T15:01:00Z</dcterms:modified>
</cp:coreProperties>
</file>