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1C0CE71F" w:rsidR="00147805" w:rsidRPr="00F07A6F" w:rsidRDefault="008A5B51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COnTEXTE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77777777" w:rsidR="00C17F9F" w:rsidRPr="00C17F9F" w:rsidRDefault="00C17F9F" w:rsidP="00C17F9F">
      <w:pPr>
        <w:rPr>
          <w:b/>
          <w:sz w:val="36"/>
          <w:lang w:val="en-US"/>
        </w:rPr>
      </w:pPr>
    </w:p>
    <w:p w14:paraId="52B059AC" w14:textId="75C16785" w:rsidR="00883FDC" w:rsidRDefault="008A5B51" w:rsidP="00C17F9F">
      <w:pPr>
        <w:rPr>
          <w:b/>
          <w:lang w:val="en-US"/>
        </w:rPr>
      </w:pPr>
      <w:r>
        <w:rPr>
          <w:b/>
          <w:lang w:val="en-US"/>
        </w:rPr>
        <w:t>(2014)</w:t>
      </w:r>
    </w:p>
    <w:p w14:paraId="38C745EE" w14:textId="77777777" w:rsidR="00883FDC" w:rsidRDefault="00883FDC" w:rsidP="00C17F9F">
      <w:pPr>
        <w:rPr>
          <w:b/>
          <w:lang w:val="en-US"/>
        </w:rPr>
      </w:pPr>
    </w:p>
    <w:p w14:paraId="52B5F950" w14:textId="12B5F8DC" w:rsidR="008A5B51" w:rsidRDefault="008A5B51" w:rsidP="008A5B51">
      <w:pPr>
        <w:rPr>
          <w:szCs w:val="28"/>
        </w:rPr>
      </w:pPr>
      <w:r>
        <w:rPr>
          <w:szCs w:val="28"/>
          <w:lang w:val="es-ES"/>
        </w:rPr>
        <w:t>Baroni, Raphaël</w:t>
      </w:r>
      <w:r w:rsidRPr="008A5B51">
        <w:rPr>
          <w:szCs w:val="28"/>
          <w:lang w:val="es-ES"/>
        </w:rPr>
        <w:t xml:space="preserve">. "La Guerre des voix: Critique polyphonique et divergences interprétatives dans l'œuvre de Michel Houellebecq." </w:t>
      </w:r>
      <w:r>
        <w:rPr>
          <w:i/>
          <w:iCs/>
          <w:szCs w:val="28"/>
        </w:rPr>
        <w:t>COnTEXTE</w:t>
      </w:r>
      <w:r>
        <w:rPr>
          <w:szCs w:val="28"/>
        </w:rPr>
        <w:t xml:space="preserve"> (2014)</w:t>
      </w:r>
    </w:p>
    <w:p w14:paraId="2A2A459C" w14:textId="77777777" w:rsidR="008A5B51" w:rsidRDefault="008A5B51" w:rsidP="008A5B51">
      <w:pPr>
        <w:rPr>
          <w:szCs w:val="28"/>
        </w:rPr>
      </w:pPr>
      <w:r>
        <w:rPr>
          <w:szCs w:val="28"/>
        </w:rPr>
        <w:tab/>
      </w:r>
      <w:hyperlink r:id="rId6" w:history="1">
        <w:r w:rsidRPr="00A453A8">
          <w:rPr>
            <w:rStyle w:val="Hipervnculo"/>
            <w:szCs w:val="28"/>
          </w:rPr>
          <w:t>https://doi.org/10.4000/contextes.5979</w:t>
        </w:r>
      </w:hyperlink>
    </w:p>
    <w:p w14:paraId="32BD3974" w14:textId="77777777" w:rsidR="008A5B51" w:rsidRPr="00084D98" w:rsidRDefault="008A5B51" w:rsidP="008A5B51">
      <w:pPr>
        <w:rPr>
          <w:szCs w:val="28"/>
          <w:lang w:val="es-ES"/>
        </w:rPr>
      </w:pPr>
      <w:r>
        <w:rPr>
          <w:szCs w:val="28"/>
        </w:rPr>
        <w:tab/>
        <w:t>2024</w:t>
      </w:r>
    </w:p>
    <w:p w14:paraId="0049F1BB" w14:textId="77777777" w:rsidR="00F07A6F" w:rsidRDefault="00F07A6F" w:rsidP="00C821CF">
      <w:pPr>
        <w:rPr>
          <w:rStyle w:val="css-1qaijid"/>
          <w:lang w:val="en-US"/>
        </w:rPr>
      </w:pPr>
    </w:p>
    <w:p w14:paraId="4A695851" w14:textId="77777777" w:rsidR="00EF2B8C" w:rsidRDefault="00EF2B8C" w:rsidP="00C821CF">
      <w:pPr>
        <w:rPr>
          <w:lang w:val="en-US"/>
        </w:rPr>
      </w:pPr>
    </w:p>
    <w:p w14:paraId="7E71750F" w14:textId="77777777" w:rsidR="00987617" w:rsidRPr="00F07A6F" w:rsidRDefault="00987617" w:rsidP="00C821CF">
      <w:pPr>
        <w:rPr>
          <w:b/>
          <w:bCs/>
          <w:lang w:val="en-US"/>
        </w:rPr>
      </w:pPr>
    </w:p>
    <w:sectPr w:rsidR="00987617" w:rsidRPr="00F07A6F" w:rsidSect="00034D5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D50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5B5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4000/contextes.5979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2024-02-05T06:52:00Z</dcterms:created>
  <dcterms:modified xsi:type="dcterms:W3CDTF">2024-02-05T06:52:00Z</dcterms:modified>
</cp:coreProperties>
</file>