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510E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Constitutional Commentary</w:t>
      </w:r>
    </w:p>
    <w:p w:rsidR="00C454AC" w:rsidRDefault="00C454AC"/>
    <w:p w:rsidR="00C454AC" w:rsidRDefault="00C454AC"/>
    <w:p w:rsidR="00C454AC" w:rsidRPr="00FE62FF" w:rsidRDefault="005510EE">
      <w:pPr>
        <w:rPr>
          <w:b/>
        </w:rPr>
      </w:pPr>
      <w:r>
        <w:rPr>
          <w:b/>
        </w:rPr>
        <w:t>Vol. 27 (2010)</w:t>
      </w:r>
      <w:bookmarkStart w:id="2" w:name="_GoBack"/>
      <w:bookmarkEnd w:id="2"/>
    </w:p>
    <w:p w:rsidR="00C454AC" w:rsidRDefault="00C454AC"/>
    <w:p w:rsidR="005510EE" w:rsidRDefault="005510EE" w:rsidP="005510EE">
      <w:r>
        <w:t xml:space="preserve">Solum, Lawrence B. "The Interpretation-Construction Distinction." </w:t>
      </w:r>
      <w:r w:rsidRPr="004A6D06">
        <w:rPr>
          <w:i/>
        </w:rPr>
        <w:t>Constitutional Commentary</w:t>
      </w:r>
      <w:r>
        <w:t xml:space="preserve"> 27 (2010): 95-118, 2010; (Georgetown Public Law Research Paper No. 11-95). Available at SSRN (June 21, 2011): </w:t>
      </w:r>
    </w:p>
    <w:p w:rsidR="005510EE" w:rsidRDefault="005510EE" w:rsidP="005510EE">
      <w:r>
        <w:tab/>
      </w:r>
      <w:r>
        <w:fldChar w:fldCharType="begin"/>
      </w:r>
      <w:r>
        <w:instrText xml:space="preserve"> HYPERLINK "http://ssrn.com/abstract=1869150" \t "_blank" </w:instrText>
      </w:r>
      <w:r>
        <w:fldChar w:fldCharType="separate"/>
      </w:r>
      <w:r>
        <w:rPr>
          <w:rStyle w:val="Hyperlink"/>
        </w:rPr>
        <w:t>http://ssrn.com/abstract=1869150</w:t>
      </w:r>
      <w:r>
        <w:fldChar w:fldCharType="end"/>
      </w:r>
    </w:p>
    <w:p w:rsidR="005510EE" w:rsidRDefault="005510EE" w:rsidP="005510EE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510E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2016-06-09T22:18:00Z</dcterms:created>
  <dcterms:modified xsi:type="dcterms:W3CDTF">2016-06-09T22:18:00Z</dcterms:modified>
</cp:coreProperties>
</file>